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spacing w:lineRule="auto" w:line="254" w:before="0" w:after="160"/>
        <w:textAlignment w:val="auto"/>
        <w:rPr/>
      </w:pPr>
      <w:r>
        <w:rPr>
          <w:rStyle w:val="Domylnaczcionkaakapitu"/>
          <w:rFonts w:eastAsia="Calibri" w:cs="Arial" w:ascii="Arial" w:hAnsi="Arial"/>
          <w:kern w:val="0"/>
          <w:lang w:eastAsia="en-US" w:bidi="ar-SA"/>
        </w:rPr>
        <w:t xml:space="preserve">Przedsięwzięcie grantowe </w:t>
      </w:r>
      <w:r>
        <w:rPr>
          <w:rStyle w:val="Domylnaczcionkaakapitu"/>
          <w:rFonts w:eastAsia="Calibri" w:cs="Arial" w:ascii="Arial" w:hAnsi="Arial"/>
          <w:b/>
          <w:color w:val="70AD47"/>
          <w:kern w:val="0"/>
          <w:lang w:eastAsia="en-US" w:bidi="ar-SA"/>
        </w:rPr>
        <w:t>„Trójmiejski Park Krajobrazowy – Dostępny Park Przyrodniczy”</w:t>
      </w:r>
      <w:r>
        <w:rPr>
          <w:rStyle w:val="Domylnaczcionkaakapitu"/>
          <w:rFonts w:eastAsia="Calibri" w:cs="Arial" w:ascii="Arial" w:hAnsi="Arial"/>
          <w:color w:val="70AD47"/>
          <w:kern w:val="0"/>
          <w:lang w:eastAsia="en-US" w:bidi="ar-SA"/>
        </w:rPr>
        <w:t xml:space="preserve"> </w:t>
      </w:r>
      <w:r>
        <w:rPr>
          <w:rStyle w:val="Domylnaczcionkaakapitu"/>
          <w:rFonts w:eastAsia="Calibri" w:cs="Arial" w:ascii="Arial" w:hAnsi="Arial"/>
          <w:kern w:val="0"/>
          <w:lang w:eastAsia="en-US" w:bidi="ar-SA"/>
        </w:rPr>
        <w:t xml:space="preserve">obejmuje poszerzenie oferty edukacyjnej i turystycznej Trójmiejskiego Parku Krajobrazowego poprzez stworzenie oferty dla osób ze szczególnymi potrzebami. Podstawą przedsięwzięcia grantowego jest przygotowanie na terenie TPK dostępnej ścieżki dydaktycznej w Dolinie Zajęczej. </w:t>
      </w:r>
      <w:r>
        <w:rPr>
          <w:rStyle w:val="Domylnaczcionkaakapitu"/>
          <w:rFonts w:cs="Arial" w:ascii="Arial" w:hAnsi="Arial"/>
        </w:rPr>
        <w:t xml:space="preserve">Będzie to pierwsza ścieżka na terenie Parku przystosowana do wykorzystania przez osoby ze szczególnymi potrzebami. </w:t>
      </w:r>
      <w:r>
        <w:rPr>
          <w:rStyle w:val="Domylnaczcionkaakapitu"/>
          <w:rFonts w:eastAsia="Calibri" w:cs="Arial" w:ascii="Arial" w:hAnsi="Arial"/>
          <w:kern w:val="0"/>
          <w:lang w:eastAsia="en-US" w:bidi="ar-SA"/>
        </w:rPr>
        <w:t xml:space="preserve">Elementy dydaktyczne ścieżki mają być zaprojektowane uniwersalnie i służyć przekazywaniu wiedzy o głównych walorach przyrodniczych Parku m.in osobom o zwiększonych potrzebach. Przy organizacji ścieżki założono wykorzystanie głównej usługi ekosystemowej Parku jaką jest kontakt z przyrodą oraz potrzebę wyeksponowania głównych cech Parku: rzeźby terenu oraz ekosystemu leśnego. Uniwersalne projektowanie ścieżki uwzględnić ma sposoby i rozwiązania techniczne zapewniające skorzystanie z niej jak najszerszej grupie osób. </w:t>
      </w:r>
      <w:r>
        <w:rPr>
          <w:rStyle w:val="Domylnaczcionkaakapitu"/>
          <w:rFonts w:cs="Arial" w:ascii="Arial" w:hAnsi="Arial"/>
        </w:rPr>
        <w:t xml:space="preserve">Ścieżka rozpoczyna się w odległości ok. 130 m od siedziby TPK. Znajduje się w sąsiedztwie Domu Pomocy Społecznej oraz Szpitala Dziecięcego Polanki i siedziby Polskiego Towarzystwa Walki z Mukowiscydozą Oddział w Gdańsku, co było jedną z głównych przesłanek wyboru tej lokalizacji. Ścieżka w końcowym fragmencie swego północnego przebiegu włącza się w ślad zielonego szlaku turystycznego. W ramach organizacji ścieżki zaplanowano zaprojektowanie oraz wykonanie: 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odcinkowego przygotowania nawierzchni oraz dojść do treści edukacyjnych na punktach dydaktycznych. Przystosowanie architektoniczne ścieżki obejmuje wyrównanie istniejących kolein, splantowanie nierówności i wybrzuszeń w obrębie ścieżki oraz przygotowanie podestów umożliwiających osobom korzystającym z wózka dostęp do treści edukacyjnych. Obejmuje też przygotowanie jednego wzmocnienia na ekokracie pod zaplanowaną do montażu ławką,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wydzielenia miejsca i montaż znaku T-29 w celu oznakowania wydzielonego na terenie leśnym miejsca postojowego dla osób niepełnosprawnych,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tablic edukacyjnych (5 szt.) na betonowym ogrodzeniu znajdującym się w sąsiedztwie początkowego odcinka ścieżki,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elementów dotykowych (płaskorzeźb), na betonowym ogrodzeniu znajdującym się w sąsiedztwie początkowego odcinka ścieżki,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 xml:space="preserve"> </w:t>
      </w:r>
      <w:r>
        <w:rPr>
          <w:rStyle w:val="Domylnaczcionkaakapitu"/>
          <w:rFonts w:cs="Arial" w:ascii="Arial" w:hAnsi="Arial"/>
          <w:szCs w:val="24"/>
        </w:rPr>
        <w:t>integralnego z tablicami i płaskorzeźbami tła dla treści edukacyjnych oraz elementów dotykowych na betonowym ogrodzeniu znajdującym się w sąsiedztwie początkowego odcinka ścieżki, w formie artystycznego muralu przedstawiającego treści przyrodnicze, atrakcyjnego dla zróżnicowanych grup odbiorców,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 xml:space="preserve"> </w:t>
      </w:r>
      <w:r>
        <w:rPr>
          <w:rStyle w:val="Domylnaczcionkaakapitu"/>
          <w:rFonts w:cs="Arial" w:ascii="Arial" w:hAnsi="Arial"/>
          <w:szCs w:val="24"/>
        </w:rPr>
        <w:t>tablic wolnostojących - niskie, uchylne (5 szt) na terenie leśnym,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miejsc odpoczynku w postaci ławek i przysiadaków,</w:t>
      </w:r>
    </w:p>
    <w:p>
      <w:pPr>
        <w:pStyle w:val="Akapitzlist"/>
        <w:widowControl/>
        <w:numPr>
          <w:ilvl w:val="0"/>
          <w:numId w:val="2"/>
        </w:numPr>
        <w:spacing w:lineRule="auto" w:line="254" w:before="0" w:after="160"/>
        <w:textAlignment w:val="auto"/>
        <w:rPr/>
      </w:pPr>
      <w:r>
        <w:rPr>
          <w:rStyle w:val="Domylnaczcionkaakapitu"/>
          <w:rFonts w:cs="Arial" w:ascii="Arial" w:hAnsi="Arial"/>
          <w:szCs w:val="24"/>
        </w:rPr>
        <w:t>niskich słupków z tabliczkami z nazwami gatunkowymi drzew i QR kodami. W miejscu oznakowania drzew tabliczkami zaplanowano istotną część edukacyjną ścieżki, dotyczącą nie tylko rozpoznania często występujących drzew w Parku, ale także możliwość odbioru zmysłowego drzew po fakturze i strukturze kory. Dostępność do wybranych drzew zapewnić mają podesty umożliwiające podjazd do drzew osobom korzystającym z wózka.</w:t>
      </w:r>
    </w:p>
    <w:p>
      <w:pPr>
        <w:pStyle w:val="Normalny"/>
        <w:widowControl/>
        <w:spacing w:lineRule="auto" w:line="254" w:before="0" w:after="160"/>
        <w:textAlignment w:val="auto"/>
        <w:rPr>
          <w:rFonts w:ascii="Arial" w:hAnsi="Arial" w:eastAsia="Calibri" w:cs="Arial"/>
          <w:kern w:val="0"/>
          <w:lang w:eastAsia="en-US" w:bidi="ar-SA"/>
        </w:rPr>
      </w:pPr>
      <w:r>
        <w:rPr>
          <w:rFonts w:eastAsia="Calibri" w:cs="Arial" w:ascii="Arial" w:hAnsi="Arial"/>
          <w:kern w:val="0"/>
          <w:lang w:eastAsia="en-US" w:bidi="ar-SA"/>
        </w:rPr>
        <w:t>W ramach przedsięwzięcia zaplanowano stworzenie dedykowanej aplikacji na telefon, wykorzystującej technikę OCR. Teksty do aplikacji będą przygotowane dodatkowo w ETR. Tablice opatrzone zostaną kodem QR umożliwiającym skorzystanie z aplikacji. Na bazie zorganizowanej ścieżki zaplanowano przygotowanie scenariuszy zajęć terenowych dla osób z różnych grup wiekowych oraz z różnymi potrzebami. Scenariusze będą ogólnodostępne, wykorzystywane zarówno przez zespół TPK jak też innych edukatorów i nauczycieli. Inauguracją ścieżki będzie terenowy warsztat dla nauczycieli, edukatorów i przewodników. Zaplanowano uzupełnienie oferty zajęć terenowych o zajęcia w sali dydaktycznej w siedzibie TPK. Część eksponatów prezentowanych w terenie będzie też służyć organizacji zajęć w Sali edukacyjnej. Przedsięwzięcie zakłada poprawę dostępności toalety w siedzibie TPK poprzez zakup elementów wyposażenia łazienki. Wzmocnieniem oferty edukacyjnej będzie także przygotowanie opisów dostępności innych ścieżek przyrodniczych aktualnie prezentowanych przez TPK na stronie www (Dolina Samborowo, Dolina Radości). Przygotowanie i udostępnienie opisów ścieżek ułatwi ocenę potrzeb wsparcia lub zaplanowanie ewentualnej wycieczki przez osoby ze szczególnymi potrzebami. W ramach przedsięwzięcia zaplanowano też audyt strony internetowej TPK. Rozszerzenie oferty edukacyjnej w opisanym zakresie należy wesprzeć działaniami o charakterze organizacyjnym: utworzeniem zespołu do spraw dostępności oraz zatrudnieniem koordynatora dostępności, wypracowaniem procedur w zakresie obsługi osób niesłyszących, przeglądem obowiązujących w ramach jednostki dokumentów. Przedsięwzięcie obejmuje też przeszkolenie personelu w zakresie podstaw asystentury, savoir- vivre obsługi osób z niepełnosprawnością, organizacji wydarzeń dostępnych oraz udzielania pierwszej pomocy. Projekt inicjuje też szeroko pojętą współpracę pomiędzy organizacjami pozarządowymi zajmującymi się wsparciem osób z niepełnosprawnością oraz pomoc wolontariuszy przy organizacji wydarzeń planowanych przez TPK. Docelowo współpraca prowadzić ma do sukcesywnej poprawy dostępności Parku i rozwoju łańcucha usług w tym zakresie.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01" w:footer="119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AAAAD+HelveticaNeue-Bold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8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46"/>
      <w:gridCol w:w="1035"/>
      <w:gridCol w:w="855"/>
      <w:gridCol w:w="2547"/>
    </w:tblGrid>
    <w:tr>
      <w:trPr>
        <w:trHeight w:val="1266" w:hRule="atLeast"/>
      </w:trPr>
      <w:tc>
        <w:tcPr>
          <w:tcW w:w="2646" w:type="dxa"/>
          <w:tcBorders/>
        </w:tcPr>
        <w:p>
          <w:pPr>
            <w:pStyle w:val="Stopka"/>
            <w:textAlignment w:val="auto"/>
            <w:rPr/>
          </w:pPr>
          <w:r>
            <w:rPr>
              <w:rStyle w:val="Domylnaczcionkaakapitu"/>
              <w:kern w:val="0"/>
              <w:lang w:eastAsia="pl-PL"/>
            </w:rPr>
            <w:drawing>
              <wp:inline distT="0" distB="0" distL="0" distR="0">
                <wp:extent cx="1552575" cy="821690"/>
                <wp:effectExtent l="0" t="0" r="0" b="0"/>
                <wp:docPr id="2" name="Obraz 22" descr="Logo Państwowego Funduszu Rehabilitacji Osób Niepeł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2" descr="Logo Państwowego Funduszu Rehabilitacji Osób Niepełnosprawnych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" w:type="dxa"/>
          <w:tcBorders/>
          <w:vAlign w:val="center"/>
        </w:tcPr>
        <w:p>
          <w:pPr>
            <w:pStyle w:val="Stopka"/>
            <w:textAlignment w:val="auto"/>
            <w:rPr/>
          </w:pPr>
          <w:r>
            <w:rPr>
              <w:rStyle w:val="Domylnaczcionkaakapitu"/>
              <w:kern w:val="0"/>
              <w:lang w:eastAsia="en-US"/>
            </w:rPr>
            <w:drawing>
              <wp:inline distT="0" distB="0" distL="0" distR="0">
                <wp:extent cx="499745" cy="499745"/>
                <wp:effectExtent l="0" t="0" r="0" b="0"/>
                <wp:docPr id="3" name="Obraz 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" w:type="dxa"/>
          <w:tcBorders/>
          <w:vAlign w:val="center"/>
        </w:tcPr>
        <w:p>
          <w:pPr>
            <w:pStyle w:val="Stopka"/>
            <w:jc w:val="center"/>
            <w:textAlignment w:val="auto"/>
            <w:rPr/>
          </w:pPr>
          <w:r>
            <w:rPr>
              <w:rStyle w:val="Domylnaczcionkaakapitu"/>
              <w:kern w:val="0"/>
              <w:lang w:eastAsia="en-US"/>
            </w:rPr>
            <w:drawing>
              <wp:inline distT="0" distB="0" distL="0" distR="0">
                <wp:extent cx="370840" cy="494665"/>
                <wp:effectExtent l="0" t="0" r="0" b="0"/>
                <wp:docPr id="4" name="Obraz 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tcBorders/>
          <w:vAlign w:val="center"/>
        </w:tcPr>
        <w:p>
          <w:pPr>
            <w:pStyle w:val="Stopka"/>
            <w:textAlignment w:val="auto"/>
            <w:rPr/>
          </w:pPr>
          <w:r>
            <w:rPr>
              <w:rStyle w:val="Domylnaczcionkaakapitu"/>
              <w:rFonts w:eastAsia="Ubuntu-Bold" w:cs="Arial" w:ascii="Arial" w:hAnsi="Arial"/>
              <w:bCs/>
              <w:kern w:val="0"/>
              <w:sz w:val="16"/>
              <w:szCs w:val="28"/>
              <w:lang w:eastAsia="en-US"/>
            </w:rPr>
            <w:t>„</w:t>
          </w:r>
          <w:r>
            <w:rPr>
              <w:rStyle w:val="Domylnaczcionkaakapitu"/>
              <w:rFonts w:eastAsia="Ubuntu-Bold" w:cs="Arial" w:ascii="Arial" w:hAnsi="Arial"/>
              <w:bCs/>
              <w:kern w:val="0"/>
              <w:sz w:val="16"/>
              <w:szCs w:val="28"/>
              <w:lang w:eastAsia="en-US"/>
            </w:rPr>
            <w:t>Trójmiejski Park Krajobrazowy – Dostępny Park Przyrodniczy”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>
        <w:rStyle w:val="Domylnaczcionkaakapitu"/>
        <w:lang w:eastAsia="pl-PL"/>
      </w:rPr>
      <w:drawing>
        <wp:inline distT="0" distB="0" distL="0" distR="0">
          <wp:extent cx="5760720" cy="740410"/>
          <wp:effectExtent l="0" t="0" r="0" b="0"/>
          <wp:docPr id="1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bidi="ar-SA" w:val="pl-PL" w:eastAsia="zh-CN"/>
    </w:rPr>
  </w:style>
  <w:style w:type="paragraph" w:styleId="Nagwek2">
    <w:name w:val="Heading 2"/>
    <w:basedOn w:val="Normalny"/>
    <w:qFormat/>
    <w:pPr>
      <w:widowControl/>
      <w:numPr>
        <w:ilvl w:val="1"/>
        <w:numId w:val="1"/>
      </w:numPr>
      <w:tabs>
        <w:tab w:val="clear" w:pos="708"/>
      </w:tabs>
      <w:suppressAutoHyphens w:val="true"/>
      <w:spacing w:lineRule="auto" w:line="276" w:before="120" w:after="120"/>
      <w:ind w:left="284" w:hanging="284"/>
      <w:jc w:val="both"/>
      <w:textAlignment w:val="auto"/>
      <w:outlineLvl w:val="1"/>
    </w:pPr>
    <w:rPr>
      <w:rFonts w:ascii="Arial" w:hAnsi="Arial" w:eastAsia="Calibri" w:cs="Times New Roman"/>
      <w:b/>
      <w:bCs/>
      <w:color w:val="000000"/>
      <w:kern w:val="0"/>
      <w:lang w:eastAsia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xtjustify">
    <w:name w:val="text-justify"/>
    <w:basedOn w:val="Domylnaczcionka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Nagwek2Znak">
    <w:name w:val="Nagłówek 2 Znak"/>
    <w:basedOn w:val="Domylnaczcionkaakapitu"/>
    <w:qFormat/>
    <w:rPr>
      <w:rFonts w:eastAsia="Calibri" w:cs="Times New Roman"/>
      <w:b/>
      <w:bCs/>
      <w:color w:val="000000"/>
      <w:kern w:val="0"/>
      <w:lang w:eastAsia="pl-PL" w:bidi="ar-SA"/>
    </w:rPr>
  </w:style>
  <w:style w:type="character" w:styleId="Pogrubienie">
    <w:name w:val="Pogrubienie"/>
    <w:basedOn w:val="Domylnaczcionkaakapitu"/>
    <w:qFormat/>
    <w:rPr>
      <w:b/>
      <w:bCs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styleId="AkapitzlistZnak">
    <w:name w:val="Akapit z listą Znak"/>
    <w:qFormat/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18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AAAAAD+HelveticaNeue-Bold" w:hAnsi="AAAAAD+HelveticaNeue-Bold" w:eastAsia="Calibri" w:cs="AAAAAD+HelveticaNeue-Bol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en-US" w:bidi="ar-SA" w:val="pl-PL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>
      <w:szCs w:val="21"/>
    </w:rPr>
  </w:style>
  <w:style w:type="paragraph" w:styleId="Tekstkomentarza">
    <w:name w:val="Tekst komentarza"/>
    <w:basedOn w:val="Normalny"/>
    <w:qFormat/>
    <w:pPr>
      <w:suppressAutoHyphens w:val="true"/>
    </w:pPr>
    <w:rPr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ti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751</Words>
  <Characters>4507</Characters>
  <CharactersWithSpaces>5248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2022-11-04T10:52:00Z</dcterms:created>
  <dc:creator>Dariusz Ożarowski</dc:creator>
  <dc:description/>
  <dc:language>pl-PL</dc:language>
  <cp:lastModifiedBy>Katarzyna Dziendziela</cp:lastModifiedBy>
  <cp:lastPrinted>2022-05-13T08:50:00Z</cp:lastPrinted>
  <dcterms:modified xsi:type="dcterms:W3CDTF">2022-11-04T10:52:00Z</dcterms:modified>
  <cp:revision>2</cp:revision>
  <dc:subject/>
  <dc:title/>
</cp:coreProperties>
</file>